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09" w:rsidRDefault="0083470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E95278">
        <w:rPr>
          <w:rFonts w:ascii="Arial" w:hAnsi="Arial" w:cs="Arial"/>
          <w:b/>
          <w:sz w:val="28"/>
          <w:szCs w:val="28"/>
        </w:rPr>
        <w:t>II/</w:t>
      </w:r>
      <w:r w:rsidR="00CB514D">
        <w:rPr>
          <w:rFonts w:ascii="Arial" w:hAnsi="Arial" w:cs="Arial"/>
          <w:b/>
          <w:sz w:val="28"/>
          <w:szCs w:val="28"/>
        </w:rPr>
        <w:t>347 Světlá nad Sázavou – přeložka silnice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:rsidR="00C84FA8" w:rsidRDefault="00C84FA8" w:rsidP="00622FF8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Pr="00622FF8">
        <w:rPr>
          <w:rFonts w:ascii="Arial" w:eastAsia="MS Mincho" w:hAnsi="Arial" w:cs="Arial"/>
          <w:sz w:val="22"/>
          <w:szCs w:val="22"/>
        </w:rPr>
        <w:t>Ing. Miroslav Houška, 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9B2530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622FF8">
        <w:rPr>
          <w:rFonts w:ascii="Arial" w:eastAsia="MS Mincho" w:hAnsi="Arial" w:cs="Arial"/>
          <w:sz w:val="22"/>
          <w:szCs w:val="22"/>
        </w:rPr>
        <w:t>Stanislav Juránek</w:t>
      </w:r>
    </w:p>
    <w:p w:rsidR="00AA3C81" w:rsidRPr="00622FF8" w:rsidRDefault="005726E4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b</w:t>
      </w:r>
      <w:r w:rsidR="00AA3C81" w:rsidRPr="00622FF8">
        <w:rPr>
          <w:rFonts w:ascii="Arial" w:eastAsia="MS Mincho" w:hAnsi="Arial" w:cs="Arial"/>
          <w:sz w:val="22"/>
          <w:szCs w:val="22"/>
        </w:rPr>
        <w:t>ankovní spojení:</w:t>
      </w:r>
      <w:r w:rsidR="00AA3C81" w:rsidRPr="00622FF8">
        <w:rPr>
          <w:rFonts w:ascii="Arial" w:eastAsia="MS Mincho" w:hAnsi="Arial" w:cs="Arial"/>
          <w:sz w:val="22"/>
          <w:szCs w:val="22"/>
        </w:rPr>
        <w:tab/>
      </w:r>
      <w:r w:rsidR="008E37BD" w:rsidRPr="00622FF8">
        <w:rPr>
          <w:rFonts w:ascii="Arial" w:eastAsia="MS Mincho" w:hAnsi="Arial" w:cs="Arial"/>
          <w:sz w:val="22"/>
          <w:szCs w:val="22"/>
        </w:rPr>
        <w:t>Komerční banka</w:t>
      </w:r>
      <w:r w:rsidR="00B06B87" w:rsidRPr="00622FF8">
        <w:rPr>
          <w:rFonts w:ascii="Arial" w:eastAsia="MS Mincho" w:hAnsi="Arial" w:cs="Arial"/>
          <w:sz w:val="22"/>
          <w:szCs w:val="22"/>
        </w:rPr>
        <w:t>, a.s.</w:t>
      </w:r>
    </w:p>
    <w:p w:rsidR="00AA3C81" w:rsidRPr="00622FF8" w:rsidRDefault="005726E4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č</w:t>
      </w:r>
      <w:r w:rsidR="00AA3C81" w:rsidRPr="00622FF8">
        <w:rPr>
          <w:rFonts w:ascii="Arial" w:eastAsia="MS Mincho" w:hAnsi="Arial" w:cs="Arial"/>
          <w:sz w:val="22"/>
          <w:szCs w:val="22"/>
        </w:rPr>
        <w:t>íslo účtu:</w:t>
      </w:r>
      <w:r w:rsidR="00AA3C81" w:rsidRPr="00622FF8">
        <w:rPr>
          <w:rFonts w:ascii="Arial" w:eastAsia="MS Mincho" w:hAnsi="Arial" w:cs="Arial"/>
          <w:sz w:val="22"/>
          <w:szCs w:val="22"/>
        </w:rPr>
        <w:tab/>
      </w:r>
      <w:r w:rsidR="00B06B87" w:rsidRPr="00622FF8">
        <w:rPr>
          <w:rFonts w:ascii="Arial" w:eastAsia="MS Mincho" w:hAnsi="Arial" w:cs="Arial"/>
          <w:sz w:val="22"/>
          <w:szCs w:val="22"/>
        </w:rPr>
        <w:t>123-6403810267/0100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IČO:</w:t>
      </w:r>
      <w:r w:rsidRPr="00622FF8">
        <w:rPr>
          <w:rFonts w:ascii="Arial" w:eastAsia="MS Mincho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4E668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A6309B">
        <w:rPr>
          <w:rFonts w:ascii="Arial" w:hAnsi="Arial" w:cs="Arial"/>
          <w:b/>
          <w:bCs/>
          <w:sz w:val="22"/>
          <w:szCs w:val="22"/>
        </w:rPr>
        <w:t>II/347 Světlá nad Sázavou</w:t>
      </w:r>
      <w:r w:rsidR="004E668C">
        <w:rPr>
          <w:rFonts w:ascii="Arial" w:hAnsi="Arial" w:cs="Arial"/>
          <w:b/>
          <w:bCs/>
          <w:sz w:val="22"/>
          <w:szCs w:val="22"/>
        </w:rPr>
        <w:t xml:space="preserve">, </w:t>
      </w:r>
      <w:r w:rsidR="00A6309B">
        <w:rPr>
          <w:rFonts w:ascii="Arial" w:hAnsi="Arial" w:cs="Arial"/>
          <w:b/>
          <w:bCs/>
          <w:sz w:val="22"/>
          <w:szCs w:val="22"/>
        </w:rPr>
        <w:t>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A6309B" w:rsidRDefault="009B2530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A6309B">
        <w:rPr>
          <w:rFonts w:ascii="Arial" w:hAnsi="Arial" w:cs="Arial"/>
          <w:sz w:val="22"/>
          <w:szCs w:val="22"/>
        </w:rPr>
        <w:t>stavební povolení (dále jen „D</w:t>
      </w:r>
      <w:r w:rsidRPr="007C320C">
        <w:rPr>
          <w:rFonts w:ascii="Arial" w:hAnsi="Arial" w:cs="Arial"/>
          <w:sz w:val="22"/>
          <w:szCs w:val="22"/>
        </w:rPr>
        <w:t xml:space="preserve">SP“), včetně zajištění </w:t>
      </w:r>
      <w:r w:rsidR="00A6309B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 xml:space="preserve">stavebního povolení (dále jen „SP“), </w:t>
      </w:r>
      <w:r w:rsidR="00A6309B" w:rsidRPr="00A6309B">
        <w:rPr>
          <w:rFonts w:ascii="Arial" w:hAnsi="Arial" w:cs="Arial"/>
          <w:sz w:val="22"/>
          <w:szCs w:val="22"/>
        </w:rPr>
        <w:t xml:space="preserve">zajištěním nutných vyjádření, souhlasů a stavebních povolení k předmětné akci. Dokumentace </w:t>
      </w:r>
      <w:r w:rsidR="00A6309B">
        <w:rPr>
          <w:rFonts w:ascii="Arial" w:hAnsi="Arial" w:cs="Arial"/>
          <w:sz w:val="22"/>
          <w:szCs w:val="22"/>
        </w:rPr>
        <w:t xml:space="preserve">DSP </w:t>
      </w:r>
      <w:r w:rsidR="00A6309B" w:rsidRPr="00A6309B">
        <w:rPr>
          <w:rFonts w:ascii="Arial" w:hAnsi="Arial" w:cs="Arial"/>
          <w:sz w:val="22"/>
          <w:szCs w:val="22"/>
        </w:rPr>
        <w:t xml:space="preserve">bude vycházet z projektové dokumentace „Propojení silnice II/150 a II/347 </w:t>
      </w:r>
      <w:r w:rsidR="00A6309B" w:rsidRPr="00A6309B">
        <w:rPr>
          <w:rFonts w:ascii="Arial" w:hAnsi="Arial" w:cs="Arial"/>
          <w:sz w:val="22"/>
          <w:szCs w:val="22"/>
        </w:rPr>
        <w:lastRenderedPageBreak/>
        <w:t xml:space="preserve">Zámecká – Nádražní“ vypracované ve stupni DÚR společností TRANSCONSULT s.r.o., Nerudova 37/32, 500 02 Hradec Králové, IČO 47455292  a z  vydaného pravomocného územního rozhodnutí </w:t>
      </w:r>
      <w:proofErr w:type="gramStart"/>
      <w:r w:rsidR="00A6309B" w:rsidRPr="00A6309B">
        <w:rPr>
          <w:rFonts w:ascii="Arial" w:hAnsi="Arial" w:cs="Arial"/>
          <w:sz w:val="22"/>
          <w:szCs w:val="22"/>
        </w:rPr>
        <w:t>č.j.</w:t>
      </w:r>
      <w:proofErr w:type="gramEnd"/>
      <w:r w:rsidR="00A6309B" w:rsidRPr="00A6309B">
        <w:rPr>
          <w:rFonts w:ascii="Arial" w:hAnsi="Arial" w:cs="Arial"/>
          <w:sz w:val="22"/>
          <w:szCs w:val="22"/>
        </w:rPr>
        <w:t>:  KUJI 16831/2022 vydaného dne 21. 2. 2022</w:t>
      </w:r>
      <w:r w:rsidR="00A6309B">
        <w:rPr>
          <w:rFonts w:ascii="Arial" w:hAnsi="Arial" w:cs="Arial"/>
          <w:sz w:val="22"/>
          <w:szCs w:val="22"/>
        </w:rPr>
        <w:t>.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F64DB3" w:rsidRPr="000226CE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226C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0226CE">
        <w:rPr>
          <w:rFonts w:ascii="Arial" w:hAnsi="Arial" w:cs="Arial"/>
          <w:sz w:val="22"/>
          <w:szCs w:val="22"/>
        </w:rPr>
        <w:t>objednatel</w:t>
      </w:r>
      <w:r w:rsidR="006C0214" w:rsidRPr="000226CE">
        <w:rPr>
          <w:rFonts w:ascii="Arial" w:hAnsi="Arial" w:cs="Arial"/>
          <w:sz w:val="22"/>
          <w:szCs w:val="22"/>
        </w:rPr>
        <w:t>.</w:t>
      </w:r>
      <w:r w:rsidR="00F64DB3" w:rsidRPr="000226CE">
        <w:rPr>
          <w:rFonts w:ascii="Arial" w:hAnsi="Arial" w:cs="Arial"/>
          <w:sz w:val="22"/>
          <w:szCs w:val="22"/>
        </w:rPr>
        <w:t xml:space="preserve"> </w:t>
      </w:r>
    </w:p>
    <w:p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</w:t>
      </w:r>
      <w:r w:rsidR="00B723C9" w:rsidRPr="00B723C9">
        <w:rPr>
          <w:bCs/>
          <w:color w:val="000000"/>
          <w:szCs w:val="22"/>
        </w:rPr>
        <w:t>Směrnice pro dokumentaci staveb pozemních komunikací schválená Ministerstvem dopravy, pod č. j. MD-23142/2022-930/2 ze dne 12. 7. 2022 s účinností od 1. 8. 2022 ve znění pozdějších předpisů.</w:t>
      </w:r>
    </w:p>
    <w:p w:rsidR="00B723C9" w:rsidRDefault="00B723C9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A6309B">
        <w:rPr>
          <w:rFonts w:ascii="Arial" w:hAnsi="Arial" w:cs="Arial"/>
          <w:b/>
          <w:bCs/>
          <w:i/>
          <w:sz w:val="22"/>
          <w:szCs w:val="22"/>
          <w:u w:val="single"/>
        </w:rPr>
        <w:t>D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SP</w:t>
      </w:r>
    </w:p>
    <w:p w:rsidR="00AB09DC" w:rsidRDefault="00AB09DC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A6309B">
        <w:rPr>
          <w:rFonts w:ascii="Arial" w:hAnsi="Arial" w:cs="Arial"/>
          <w:bCs/>
          <w:sz w:val="22"/>
          <w:szCs w:val="22"/>
        </w:rPr>
        <w:t xml:space="preserve">včetně lokalizace inženýrských sítí </w:t>
      </w:r>
    </w:p>
    <w:p w:rsidR="00A6309B" w:rsidRPr="00A6309B" w:rsidRDefault="00A6309B" w:rsidP="00A6309B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A6309B">
        <w:rPr>
          <w:rFonts w:ascii="Arial" w:hAnsi="Arial" w:cs="Arial"/>
          <w:bCs/>
          <w:sz w:val="22"/>
          <w:szCs w:val="22"/>
        </w:rPr>
        <w:t>inženýrsko-geologický průzkum v místě nového vedení trasy silnice II/347 a v místě založení nového mostu přes řeku Sázavu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  <w:r w:rsidR="002429AE">
        <w:t xml:space="preserve">. 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EF49B2" w:rsidRDefault="00EF49B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:rsidR="002429AE" w:rsidRPr="00762347" w:rsidRDefault="002429AE" w:rsidP="00BF4BA2">
      <w:pPr>
        <w:pStyle w:val="bntext30"/>
        <w:numPr>
          <w:ilvl w:val="0"/>
          <w:numId w:val="33"/>
        </w:numPr>
      </w:pPr>
      <w:r>
        <w:t xml:space="preserve">situace s vyznačením míst provedených </w:t>
      </w:r>
      <w:proofErr w:type="spellStart"/>
      <w:r>
        <w:t>odvrtů</w:t>
      </w:r>
      <w:proofErr w:type="spellEnd"/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</w:t>
      </w:r>
      <w:r w:rsidR="002429AE">
        <w:t>rekonstrukce</w:t>
      </w:r>
      <w:r w:rsidRPr="00762347">
        <w:t xml:space="preserve"> (dle stanovení dopravního zatížení) TP 170 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EF49B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FA4E4C" w:rsidRPr="002429AE" w:rsidRDefault="002429A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429AE">
        <w:rPr>
          <w:rFonts w:ascii="Arial" w:hAnsi="Arial" w:cs="Arial"/>
          <w:bCs/>
          <w:sz w:val="22"/>
          <w:szCs w:val="22"/>
        </w:rPr>
        <w:t>Součástí DSP bude rovněž plán BOZP zpracovaný v přípravné fázi stavby.</w:t>
      </w:r>
    </w:p>
    <w:p w:rsidR="002429AE" w:rsidRDefault="002429A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024831" w:rsidRPr="004370F9" w:rsidRDefault="00024831" w:rsidP="000248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</w:t>
      </w:r>
      <w:r w:rsidR="00D05647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:rsidR="00024831" w:rsidRDefault="00024831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001 - Příprava staveniště 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002 - Demolice lávky přes Sázavu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003 - Demolice </w:t>
      </w:r>
      <w:proofErr w:type="gramStart"/>
      <w:r w:rsidRPr="002429AE">
        <w:rPr>
          <w:rFonts w:ascii="Arial" w:hAnsi="Arial" w:cs="Arial"/>
          <w:sz w:val="22"/>
          <w:szCs w:val="22"/>
        </w:rPr>
        <w:t>č.p.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567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101 - Přeložka silnice II/347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102 - Stavební úpravy Nádražní ulice – I. část 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103 - Stavební úpravy Nádražní ulice – II.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104 - Úprava napojení MK CRYSTALITE BOHEMIA,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105 - Úprava napojení parkoviště k PENNY MARKET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106 - Napojení pozemků </w:t>
      </w:r>
      <w:proofErr w:type="spellStart"/>
      <w:proofErr w:type="gramStart"/>
      <w:r w:rsidRPr="002429AE">
        <w:rPr>
          <w:rFonts w:ascii="Arial" w:hAnsi="Arial" w:cs="Arial"/>
          <w:sz w:val="22"/>
          <w:szCs w:val="22"/>
        </w:rPr>
        <w:t>p.č</w:t>
      </w:r>
      <w:proofErr w:type="spellEnd"/>
      <w:r w:rsidRPr="002429AE">
        <w:rPr>
          <w:rFonts w:ascii="Arial" w:hAnsi="Arial" w:cs="Arial"/>
          <w:sz w:val="22"/>
          <w:szCs w:val="22"/>
        </w:rPr>
        <w:t>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623/5, 623/7, 623/8 a 627/5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107 - Sjezd a odstavná stání </w:t>
      </w:r>
      <w:proofErr w:type="gramStart"/>
      <w:r w:rsidRPr="002429AE">
        <w:rPr>
          <w:rFonts w:ascii="Arial" w:hAnsi="Arial" w:cs="Arial"/>
          <w:sz w:val="22"/>
          <w:szCs w:val="22"/>
        </w:rPr>
        <w:t>č.p.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565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108 - Napojení areálu PODHRADÍ,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109 - Napojení areálu Českých drah,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181 - Dopravně inženýrské opatření 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191 - Dopravní značení na silnicích II. tříd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193 - Dopravní značení napojení MK CRYSTALITE BOHEMIA,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201 - Most přes Sázavu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202 - Opěrné zdi na předmostí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203 - Opěrné zdi </w:t>
      </w:r>
      <w:proofErr w:type="gramStart"/>
      <w:r w:rsidRPr="002429AE">
        <w:rPr>
          <w:rFonts w:ascii="Arial" w:hAnsi="Arial" w:cs="Arial"/>
          <w:sz w:val="22"/>
          <w:szCs w:val="22"/>
        </w:rPr>
        <w:t>č.p.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565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401 - Přeložka nadzemního vedení </w:t>
      </w:r>
      <w:proofErr w:type="spellStart"/>
      <w:r w:rsidRPr="002429AE">
        <w:rPr>
          <w:rFonts w:ascii="Arial" w:hAnsi="Arial" w:cs="Arial"/>
          <w:sz w:val="22"/>
          <w:szCs w:val="22"/>
        </w:rPr>
        <w:t>vn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ČEZ Distribuce,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402 - Přeložka podzemního vedení </w:t>
      </w:r>
      <w:proofErr w:type="spellStart"/>
      <w:r w:rsidRPr="002429AE">
        <w:rPr>
          <w:rFonts w:ascii="Arial" w:hAnsi="Arial" w:cs="Arial"/>
          <w:sz w:val="22"/>
          <w:szCs w:val="22"/>
        </w:rPr>
        <w:t>vn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ČEZ Distribuce,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411 - Přeložka podzemního vedení </w:t>
      </w:r>
      <w:proofErr w:type="spellStart"/>
      <w:r w:rsidRPr="002429AE">
        <w:rPr>
          <w:rFonts w:ascii="Arial" w:hAnsi="Arial" w:cs="Arial"/>
          <w:sz w:val="22"/>
          <w:szCs w:val="22"/>
        </w:rPr>
        <w:t>nn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ČEZ Distribuce, a.s. – 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412 - Přeložka podzemního vedení </w:t>
      </w:r>
      <w:proofErr w:type="spellStart"/>
      <w:r w:rsidRPr="002429AE">
        <w:rPr>
          <w:rFonts w:ascii="Arial" w:hAnsi="Arial" w:cs="Arial"/>
          <w:sz w:val="22"/>
          <w:szCs w:val="22"/>
        </w:rPr>
        <w:t>nn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ČEZ Distribuce, a.s. – II.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413 - Přeložka podzemního vedení </w:t>
      </w:r>
      <w:proofErr w:type="spellStart"/>
      <w:r w:rsidRPr="002429AE">
        <w:rPr>
          <w:rFonts w:ascii="Arial" w:hAnsi="Arial" w:cs="Arial"/>
          <w:sz w:val="22"/>
          <w:szCs w:val="22"/>
        </w:rPr>
        <w:t>nn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ČEZ Distribuce, a.s. – III.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414 - Přeložka napájecího kabelu </w:t>
      </w:r>
      <w:proofErr w:type="spellStart"/>
      <w:r w:rsidRPr="002429AE">
        <w:rPr>
          <w:rFonts w:ascii="Arial" w:hAnsi="Arial" w:cs="Arial"/>
          <w:sz w:val="22"/>
          <w:szCs w:val="22"/>
        </w:rPr>
        <w:t>nn</w:t>
      </w:r>
      <w:proofErr w:type="spellEnd"/>
      <w:r w:rsidRPr="002429AE">
        <w:rPr>
          <w:rFonts w:ascii="Arial" w:hAnsi="Arial" w:cs="Arial"/>
          <w:sz w:val="22"/>
          <w:szCs w:val="22"/>
        </w:rPr>
        <w:t xml:space="preserve"> CRYSTALITE BOHEMIA, a.s.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451 - Přeložka vedení SEK CETIN, a.s. – 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452 - Přeložka vedení SEK CETIN, a.s. – II.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453 - Přeložka vedení SEK CETIN, a.s. – III. část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501 - Výšková úprava STL plynovodu ocel 200 </w:t>
      </w:r>
      <w:proofErr w:type="spellStart"/>
      <w:r w:rsidRPr="002429AE">
        <w:rPr>
          <w:rFonts w:ascii="Arial" w:hAnsi="Arial" w:cs="Arial"/>
          <w:sz w:val="22"/>
          <w:szCs w:val="22"/>
        </w:rPr>
        <w:t>GasNet</w:t>
      </w:r>
      <w:proofErr w:type="spellEnd"/>
      <w:r w:rsidRPr="002429AE">
        <w:rPr>
          <w:rFonts w:ascii="Arial" w:hAnsi="Arial" w:cs="Arial"/>
          <w:sz w:val="22"/>
          <w:szCs w:val="22"/>
        </w:rPr>
        <w:t>,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502 - Výšková úprava NTL plynovodu PE 110 </w:t>
      </w:r>
      <w:proofErr w:type="spellStart"/>
      <w:r w:rsidRPr="002429AE">
        <w:rPr>
          <w:rFonts w:ascii="Arial" w:hAnsi="Arial" w:cs="Arial"/>
          <w:sz w:val="22"/>
          <w:szCs w:val="22"/>
        </w:rPr>
        <w:t>GasNet</w:t>
      </w:r>
      <w:proofErr w:type="spellEnd"/>
      <w:r w:rsidRPr="002429AE">
        <w:rPr>
          <w:rFonts w:ascii="Arial" w:hAnsi="Arial" w:cs="Arial"/>
          <w:sz w:val="22"/>
          <w:szCs w:val="22"/>
        </w:rPr>
        <w:t>,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503 - Přeložka NTL plynovodu PE 63 </w:t>
      </w:r>
      <w:proofErr w:type="spellStart"/>
      <w:r w:rsidRPr="002429AE">
        <w:rPr>
          <w:rFonts w:ascii="Arial" w:hAnsi="Arial" w:cs="Arial"/>
          <w:sz w:val="22"/>
          <w:szCs w:val="22"/>
        </w:rPr>
        <w:t>GasNet</w:t>
      </w:r>
      <w:proofErr w:type="spellEnd"/>
      <w:r w:rsidRPr="002429AE">
        <w:rPr>
          <w:rFonts w:ascii="Arial" w:hAnsi="Arial" w:cs="Arial"/>
          <w:sz w:val="22"/>
          <w:szCs w:val="22"/>
        </w:rPr>
        <w:t>.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504 - Odstranění plynovodní přípojky </w:t>
      </w:r>
      <w:proofErr w:type="gramStart"/>
      <w:r w:rsidRPr="002429AE">
        <w:rPr>
          <w:rFonts w:ascii="Arial" w:hAnsi="Arial" w:cs="Arial"/>
          <w:sz w:val="22"/>
          <w:szCs w:val="22"/>
        </w:rPr>
        <w:t>č.p.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567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651 - Přeložka sdělovacího kabelu SŽDC, </w:t>
      </w:r>
      <w:proofErr w:type="spellStart"/>
      <w:proofErr w:type="gramStart"/>
      <w:r w:rsidRPr="002429AE">
        <w:rPr>
          <w:rFonts w:ascii="Arial" w:hAnsi="Arial" w:cs="Arial"/>
          <w:sz w:val="22"/>
          <w:szCs w:val="22"/>
        </w:rPr>
        <w:t>s.o</w:t>
      </w:r>
      <w:proofErr w:type="spellEnd"/>
      <w:r w:rsidRPr="002429AE">
        <w:rPr>
          <w:rFonts w:ascii="Arial" w:hAnsi="Arial" w:cs="Arial"/>
          <w:sz w:val="22"/>
          <w:szCs w:val="22"/>
        </w:rPr>
        <w:t>.</w:t>
      </w:r>
      <w:proofErr w:type="gramEnd"/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701 - Úprava oplocení </w:t>
      </w:r>
      <w:proofErr w:type="spellStart"/>
      <w:r w:rsidRPr="002429AE">
        <w:rPr>
          <w:rFonts w:ascii="Arial" w:hAnsi="Arial" w:cs="Arial"/>
          <w:sz w:val="22"/>
          <w:szCs w:val="22"/>
        </w:rPr>
        <w:t>Agrofo</w:t>
      </w:r>
      <w:proofErr w:type="spellEnd"/>
      <w:r w:rsidRPr="002429AE">
        <w:rPr>
          <w:rFonts w:ascii="Arial" w:hAnsi="Arial" w:cs="Arial"/>
          <w:sz w:val="22"/>
          <w:szCs w:val="22"/>
        </w:rPr>
        <w:t>, s.r.o.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 xml:space="preserve">SO 702 - Úprava oplocení </w:t>
      </w:r>
      <w:proofErr w:type="gramStart"/>
      <w:r w:rsidRPr="002429AE">
        <w:rPr>
          <w:rFonts w:ascii="Arial" w:hAnsi="Arial" w:cs="Arial"/>
          <w:sz w:val="22"/>
          <w:szCs w:val="22"/>
        </w:rPr>
        <w:t>č.p.</w:t>
      </w:r>
      <w:proofErr w:type="gramEnd"/>
      <w:r w:rsidRPr="002429AE">
        <w:rPr>
          <w:rFonts w:ascii="Arial" w:hAnsi="Arial" w:cs="Arial"/>
          <w:sz w:val="22"/>
          <w:szCs w:val="22"/>
        </w:rPr>
        <w:t xml:space="preserve"> 565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703 - Přemístění pomníku</w:t>
      </w:r>
    </w:p>
    <w:p w:rsidR="002429AE" w:rsidRPr="002429AE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801.1 - Vegetační úpravy veřejného prostoru</w:t>
      </w:r>
    </w:p>
    <w:p w:rsidR="00FA4E4C" w:rsidRDefault="002429AE" w:rsidP="002429AE">
      <w:pPr>
        <w:overflowPunct/>
        <w:rPr>
          <w:rFonts w:ascii="Arial" w:hAnsi="Arial" w:cs="Arial"/>
          <w:sz w:val="22"/>
          <w:szCs w:val="22"/>
        </w:rPr>
      </w:pPr>
      <w:r w:rsidRPr="002429AE">
        <w:rPr>
          <w:rFonts w:ascii="Arial" w:hAnsi="Arial" w:cs="Arial"/>
          <w:sz w:val="22"/>
          <w:szCs w:val="22"/>
        </w:rPr>
        <w:t>SO 801.2 - Vegetační úpravy zahrady u čp. 565</w:t>
      </w:r>
    </w:p>
    <w:p w:rsidR="002429AE" w:rsidRPr="00F74F1B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646A9">
        <w:rPr>
          <w:rFonts w:ascii="Arial" w:hAnsi="Arial" w:cs="Arial"/>
          <w:sz w:val="22"/>
          <w:szCs w:val="22"/>
        </w:rPr>
        <w:lastRenderedPageBreak/>
        <w:t>DSP bude dodána v rámci dohodnuté ceny Objednateli v následujících počtech:</w:t>
      </w:r>
    </w:p>
    <w:p w:rsidR="002429AE" w:rsidRPr="00F74F1B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Pr="00F74F1B" w:rsidRDefault="002429AE" w:rsidP="002429AE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</w:t>
      </w:r>
      <w:r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Pr="00F74F1B">
        <w:rPr>
          <w:rFonts w:ascii="Arial" w:hAnsi="Arial" w:cs="Arial"/>
          <w:sz w:val="22"/>
          <w:szCs w:val="22"/>
        </w:rPr>
        <w:t>dwg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  <w:r>
        <w:rPr>
          <w:rFonts w:ascii="Arial" w:hAnsi="Arial" w:cs="Arial"/>
          <w:sz w:val="22"/>
          <w:szCs w:val="22"/>
        </w:rPr>
        <w:t xml:space="preserve">. Z uvedených šesti </w:t>
      </w:r>
      <w:proofErr w:type="spellStart"/>
      <w:r>
        <w:rPr>
          <w:rFonts w:ascii="Arial" w:hAnsi="Arial" w:cs="Arial"/>
          <w:sz w:val="22"/>
          <w:szCs w:val="22"/>
        </w:rPr>
        <w:t>paré</w:t>
      </w:r>
      <w:proofErr w:type="spellEnd"/>
      <w:r>
        <w:rPr>
          <w:rFonts w:ascii="Arial" w:hAnsi="Arial" w:cs="Arial"/>
          <w:sz w:val="22"/>
          <w:szCs w:val="22"/>
        </w:rPr>
        <w:t xml:space="preserve"> (v listinné podobě) budou čtyři </w:t>
      </w:r>
      <w:proofErr w:type="spellStart"/>
      <w:r>
        <w:rPr>
          <w:rFonts w:ascii="Arial" w:hAnsi="Arial" w:cs="Arial"/>
          <w:sz w:val="22"/>
          <w:szCs w:val="22"/>
        </w:rPr>
        <w:t>paré</w:t>
      </w:r>
      <w:proofErr w:type="spellEnd"/>
      <w:r>
        <w:rPr>
          <w:rFonts w:ascii="Arial" w:hAnsi="Arial" w:cs="Arial"/>
          <w:sz w:val="22"/>
          <w:szCs w:val="22"/>
        </w:rPr>
        <w:t xml:space="preserve"> zhotovitelem použity jako příloha žádosti o vydání stavebního povolení </w:t>
      </w: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>
        <w:rPr>
          <w:rFonts w:ascii="Arial" w:hAnsi="Arial" w:cs="Arial"/>
          <w:sz w:val="22"/>
          <w:szCs w:val="22"/>
        </w:rPr>
        <w:t>DSP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>
        <w:rPr>
          <w:rFonts w:ascii="Arial" w:hAnsi="Arial" w:cs="Arial"/>
          <w:sz w:val="22"/>
          <w:szCs w:val="22"/>
        </w:rPr>
        <w:t>DSP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2429AE" w:rsidRPr="004425CC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3F292F" w:rsidRDefault="002429AE" w:rsidP="002429AE">
      <w:pPr>
        <w:tabs>
          <w:tab w:val="num" w:pos="-15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3F292F">
        <w:rPr>
          <w:rFonts w:ascii="Arial" w:hAnsi="Arial" w:cs="Arial"/>
          <w:b/>
          <w:bCs/>
          <w:sz w:val="22"/>
          <w:szCs w:val="22"/>
        </w:rPr>
        <w:t xml:space="preserve">Elektronická (digitální) verze projektové dokumentace bude opatřena, v souladu </w:t>
      </w:r>
      <w:r w:rsidR="004C42A1" w:rsidRPr="003F292F">
        <w:rPr>
          <w:rFonts w:ascii="Arial" w:hAnsi="Arial" w:cs="Arial"/>
          <w:b/>
          <w:bCs/>
          <w:sz w:val="22"/>
          <w:szCs w:val="22"/>
        </w:rPr>
        <w:br/>
      </w:r>
      <w:r w:rsidRPr="003F292F">
        <w:rPr>
          <w:rFonts w:ascii="Arial" w:hAnsi="Arial" w:cs="Arial"/>
          <w:b/>
          <w:bCs/>
          <w:sz w:val="22"/>
          <w:szCs w:val="22"/>
        </w:rPr>
        <w:t>s Autorizačním zákonem č. 360/1992 Sb., ve znění pozdějších předpisů, elektronickým autorizovaným razítkem na všech místech, kde ve fyzické podobě figuruje autorizační razítko. Ruční podpis bude v elektronické verzi nahrazen kvalifikovaným elektronickým podpisem.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:rsidR="00C5530E" w:rsidRDefault="00C5530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C5530E" w:rsidRPr="000B2CD7" w:rsidRDefault="00C5530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0B2CD7">
        <w:rPr>
          <w:rFonts w:ascii="Arial" w:hAnsi="Arial" w:cs="Arial"/>
          <w:bCs/>
          <w:sz w:val="22"/>
          <w:szCs w:val="22"/>
        </w:rPr>
        <w:t>V dotčené lokalitě je připravována stavba</w:t>
      </w:r>
      <w:r w:rsidR="003C4009" w:rsidRPr="000B2CD7">
        <w:rPr>
          <w:rFonts w:ascii="Arial" w:hAnsi="Arial" w:cs="Arial"/>
          <w:bCs/>
          <w:sz w:val="22"/>
          <w:szCs w:val="22"/>
        </w:rPr>
        <w:t xml:space="preserve"> </w:t>
      </w:r>
      <w:r w:rsidRPr="000B2CD7">
        <w:rPr>
          <w:rFonts w:ascii="Arial" w:hAnsi="Arial" w:cs="Arial"/>
          <w:bCs/>
          <w:sz w:val="22"/>
          <w:szCs w:val="22"/>
        </w:rPr>
        <w:t>“</w:t>
      </w:r>
      <w:r w:rsidR="003C4009" w:rsidRPr="000B2CD7">
        <w:rPr>
          <w:rFonts w:ascii="Arial" w:hAnsi="Arial" w:cs="Arial"/>
          <w:bCs/>
          <w:sz w:val="22"/>
          <w:szCs w:val="22"/>
        </w:rPr>
        <w:t>Vodovod Příseka-posílení kapacity ze Světlé nad Sázavou“</w:t>
      </w:r>
      <w:r w:rsidRPr="000B2CD7">
        <w:rPr>
          <w:rFonts w:ascii="Arial" w:hAnsi="Arial" w:cs="Arial"/>
          <w:bCs/>
          <w:sz w:val="22"/>
          <w:szCs w:val="22"/>
        </w:rPr>
        <w:t xml:space="preserve">. Jedná se o </w:t>
      </w:r>
      <w:r w:rsidR="00066165" w:rsidRPr="000B2CD7">
        <w:rPr>
          <w:rFonts w:ascii="Arial" w:hAnsi="Arial" w:cs="Arial"/>
          <w:bCs/>
          <w:sz w:val="22"/>
          <w:szCs w:val="22"/>
        </w:rPr>
        <w:t xml:space="preserve">přeložku vodovodu v délce 76,00 m </w:t>
      </w:r>
      <w:r w:rsidRPr="000B2CD7">
        <w:rPr>
          <w:rFonts w:ascii="Arial" w:hAnsi="Arial" w:cs="Arial"/>
          <w:bCs/>
          <w:sz w:val="22"/>
          <w:szCs w:val="22"/>
        </w:rPr>
        <w:t>v poloze, která byla projednána a odsouhlasena v rámci projektování projektové dokumentace „</w:t>
      </w:r>
      <w:r w:rsidR="003C4009" w:rsidRPr="000B2CD7">
        <w:rPr>
          <w:rFonts w:ascii="Arial" w:hAnsi="Arial" w:cs="Arial"/>
          <w:sz w:val="22"/>
          <w:szCs w:val="22"/>
        </w:rPr>
        <w:t xml:space="preserve">Propojení silnice II/150 a II/347 Zámecká – Nádražní“ </w:t>
      </w:r>
      <w:r w:rsidRPr="000B2CD7">
        <w:rPr>
          <w:rFonts w:ascii="Arial" w:hAnsi="Arial" w:cs="Arial"/>
          <w:bCs/>
          <w:sz w:val="22"/>
          <w:szCs w:val="22"/>
        </w:rPr>
        <w:t xml:space="preserve">zpracované ve stupni DÚR. </w:t>
      </w:r>
      <w:r w:rsidR="004D4C94" w:rsidRPr="000B2CD7">
        <w:rPr>
          <w:rFonts w:ascii="Arial" w:hAnsi="Arial" w:cs="Arial"/>
          <w:bCs/>
          <w:sz w:val="22"/>
          <w:szCs w:val="22"/>
        </w:rPr>
        <w:t>Zhotovitel</w:t>
      </w:r>
      <w:r w:rsidRPr="000B2CD7">
        <w:rPr>
          <w:rFonts w:ascii="Arial" w:hAnsi="Arial" w:cs="Arial"/>
          <w:bCs/>
          <w:sz w:val="22"/>
          <w:szCs w:val="22"/>
        </w:rPr>
        <w:t xml:space="preserve"> bude projekč</w:t>
      </w:r>
      <w:r w:rsidR="003C4009" w:rsidRPr="000B2CD7">
        <w:rPr>
          <w:rFonts w:ascii="Arial" w:hAnsi="Arial" w:cs="Arial"/>
          <w:bCs/>
          <w:sz w:val="22"/>
          <w:szCs w:val="22"/>
        </w:rPr>
        <w:t>n</w:t>
      </w:r>
      <w:r w:rsidRPr="000B2CD7">
        <w:rPr>
          <w:rFonts w:ascii="Arial" w:hAnsi="Arial" w:cs="Arial"/>
          <w:bCs/>
          <w:sz w:val="22"/>
          <w:szCs w:val="22"/>
        </w:rPr>
        <w:t>í práce a inženýrskou činnost koordinovat s připravovanou akcí „</w:t>
      </w:r>
      <w:r w:rsidR="00066165" w:rsidRPr="000B2CD7">
        <w:rPr>
          <w:rFonts w:ascii="Arial" w:hAnsi="Arial" w:cs="Arial"/>
          <w:bCs/>
          <w:sz w:val="22"/>
          <w:szCs w:val="22"/>
        </w:rPr>
        <w:t>Vodovod Příseka-posílení kapacity ze Světlé nad Sázavou</w:t>
      </w:r>
      <w:r w:rsidRPr="000B2CD7">
        <w:rPr>
          <w:rFonts w:ascii="Arial" w:hAnsi="Arial" w:cs="Arial"/>
          <w:bCs/>
          <w:sz w:val="22"/>
          <w:szCs w:val="22"/>
        </w:rPr>
        <w:t xml:space="preserve">“. </w:t>
      </w:r>
    </w:p>
    <w:p w:rsidR="002429AE" w:rsidRDefault="002429AE" w:rsidP="002429AE">
      <w:pPr>
        <w:overflowPunct/>
        <w:rPr>
          <w:rFonts w:ascii="Arial" w:hAnsi="Arial" w:cs="Arial"/>
          <w:sz w:val="22"/>
          <w:szCs w:val="22"/>
        </w:rPr>
      </w:pPr>
    </w:p>
    <w:p w:rsidR="00EF49B2" w:rsidRDefault="00EF49B2" w:rsidP="002429AE">
      <w:pPr>
        <w:overflowPunct/>
        <w:rPr>
          <w:rFonts w:ascii="Arial" w:hAnsi="Arial" w:cs="Arial"/>
          <w:sz w:val="22"/>
          <w:szCs w:val="22"/>
        </w:rPr>
      </w:pPr>
    </w:p>
    <w:p w:rsidR="00EF49B2" w:rsidRPr="002429AE" w:rsidRDefault="00EF49B2" w:rsidP="002429AE">
      <w:pPr>
        <w:overflowPunct/>
        <w:rPr>
          <w:rFonts w:ascii="Arial" w:hAnsi="Arial" w:cs="Arial"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2429AE" w:rsidRPr="002429AE">
        <w:rPr>
          <w:rFonts w:ascii="Arial" w:hAnsi="Arial" w:cs="Arial"/>
          <w:spacing w:val="-4"/>
          <w:sz w:val="22"/>
          <w:szCs w:val="22"/>
        </w:rPr>
        <w:t xml:space="preserve">pravomocného stavebního povolení, případně dalších nutných povolení (např. povolení o odstranění čp. 567 apod.) na akci „II/347 Světlá </w:t>
      </w:r>
      <w:r w:rsidR="002429AE">
        <w:rPr>
          <w:rFonts w:ascii="Arial" w:hAnsi="Arial" w:cs="Arial"/>
          <w:spacing w:val="-4"/>
          <w:sz w:val="22"/>
          <w:szCs w:val="22"/>
        </w:rPr>
        <w:t>nad Sázavou – přeložka silnice“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 xml:space="preserve">dokumentace </w:t>
      </w:r>
      <w:r w:rsidR="007152E6">
        <w:rPr>
          <w:rFonts w:ascii="Arial" w:hAnsi="Arial" w:cs="Arial"/>
          <w:bCs/>
          <w:spacing w:val="-2"/>
          <w:sz w:val="22"/>
          <w:szCs w:val="22"/>
        </w:rPr>
        <w:t>DSP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3D0F7A">
        <w:rPr>
          <w:rFonts w:ascii="Arial" w:hAnsi="Arial" w:cs="Arial"/>
          <w:sz w:val="22"/>
          <w:szCs w:val="22"/>
          <w:lang w:val="pl-PL"/>
        </w:rPr>
        <w:t>31</w:t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5F550E" w:rsidRPr="003D0F7A">
        <w:rPr>
          <w:rFonts w:ascii="Arial" w:hAnsi="Arial" w:cs="Arial"/>
          <w:sz w:val="22"/>
          <w:szCs w:val="22"/>
          <w:lang w:val="pl-PL"/>
        </w:rPr>
        <w:t>1</w:t>
      </w:r>
      <w:r w:rsidR="00CC4665" w:rsidRPr="003D0F7A">
        <w:rPr>
          <w:rFonts w:ascii="Arial" w:hAnsi="Arial" w:cs="Arial"/>
          <w:sz w:val="22"/>
          <w:szCs w:val="22"/>
          <w:lang w:val="pl-PL"/>
        </w:rPr>
        <w:t>0</w:t>
      </w:r>
      <w:r w:rsidR="005F550E" w:rsidRPr="003D0F7A">
        <w:rPr>
          <w:rFonts w:ascii="Arial" w:hAnsi="Arial" w:cs="Arial"/>
          <w:sz w:val="22"/>
          <w:szCs w:val="22"/>
          <w:lang w:val="pl-PL"/>
        </w:rPr>
        <w:t>. 2023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stavebního povolení</w:t>
      </w: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C4665" w:rsidRPr="003D0F7A">
        <w:rPr>
          <w:rFonts w:ascii="Arial" w:hAnsi="Arial" w:cs="Arial"/>
          <w:sz w:val="22"/>
          <w:szCs w:val="22"/>
          <w:lang w:val="pl-PL"/>
        </w:rPr>
        <w:t>30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3F292F">
        <w:rPr>
          <w:rFonts w:ascii="Arial" w:hAnsi="Arial" w:cs="Arial"/>
          <w:sz w:val="22"/>
          <w:szCs w:val="22"/>
          <w:lang w:val="pl-PL"/>
        </w:rPr>
        <w:t>5</w:t>
      </w:r>
      <w:r w:rsidR="004630B0" w:rsidRPr="003D0F7A">
        <w:rPr>
          <w:rFonts w:ascii="Arial" w:hAnsi="Arial" w:cs="Arial"/>
          <w:sz w:val="22"/>
          <w:szCs w:val="22"/>
          <w:lang w:val="pl-PL"/>
        </w:rPr>
        <w:t>.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 202</w:t>
      </w:r>
      <w:r w:rsidR="00CC4665" w:rsidRPr="003D0F7A">
        <w:rPr>
          <w:rFonts w:ascii="Arial" w:hAnsi="Arial" w:cs="Arial"/>
          <w:sz w:val="22"/>
          <w:szCs w:val="22"/>
          <w:lang w:val="pl-PL"/>
        </w:rPr>
        <w:t>4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3F292F" w:rsidRDefault="00B520CF" w:rsidP="003F292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F292F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3F292F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proofErr w:type="gramStart"/>
      <w:r w:rsidR="002D4D0C" w:rsidRPr="003F292F">
        <w:rPr>
          <w:rFonts w:ascii="Arial" w:hAnsi="Arial" w:cs="Arial"/>
          <w:spacing w:val="6"/>
          <w:sz w:val="22"/>
          <w:szCs w:val="22"/>
        </w:rPr>
        <w:t>2.</w:t>
      </w:r>
      <w:r w:rsidR="00D313E5" w:rsidRPr="003F292F">
        <w:rPr>
          <w:rFonts w:ascii="Arial" w:hAnsi="Arial" w:cs="Arial"/>
          <w:spacing w:val="6"/>
          <w:sz w:val="22"/>
          <w:szCs w:val="22"/>
        </w:rPr>
        <w:t>2</w:t>
      </w:r>
      <w:r w:rsidR="003F292F">
        <w:rPr>
          <w:rFonts w:ascii="Arial" w:hAnsi="Arial" w:cs="Arial"/>
          <w:spacing w:val="6"/>
          <w:sz w:val="22"/>
          <w:szCs w:val="22"/>
        </w:rPr>
        <w:t>. písm.</w:t>
      </w:r>
      <w:proofErr w:type="gramEnd"/>
      <w:r w:rsidR="003F292F">
        <w:rPr>
          <w:rFonts w:ascii="Arial" w:hAnsi="Arial" w:cs="Arial"/>
          <w:spacing w:val="6"/>
          <w:sz w:val="22"/>
          <w:szCs w:val="22"/>
        </w:rPr>
        <w:t xml:space="preserve"> a), b)</w:t>
      </w:r>
      <w:r w:rsidRPr="003F292F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3F292F">
        <w:rPr>
          <w:rFonts w:ascii="Arial" w:hAnsi="Arial" w:cs="Arial"/>
          <w:sz w:val="22"/>
          <w:szCs w:val="22"/>
        </w:rPr>
        <w:br/>
      </w:r>
      <w:r w:rsidRPr="003F292F">
        <w:rPr>
          <w:rFonts w:ascii="Arial" w:eastAsia="MS Mincho" w:hAnsi="Arial" w:cs="Arial"/>
          <w:sz w:val="22"/>
          <w:szCs w:val="22"/>
        </w:rPr>
        <w:t>i před sjednanou dobou</w:t>
      </w:r>
      <w:r w:rsidRPr="003F292F">
        <w:rPr>
          <w:rFonts w:ascii="Arial" w:hAnsi="Arial" w:cs="Arial"/>
          <w:sz w:val="22"/>
          <w:szCs w:val="22"/>
        </w:rPr>
        <w:t>.</w:t>
      </w:r>
    </w:p>
    <w:p w:rsidR="003F292F" w:rsidRPr="003F292F" w:rsidRDefault="003F292F" w:rsidP="003F292F">
      <w:pPr>
        <w:pStyle w:val="Odstavecseseznamem"/>
        <w:tabs>
          <w:tab w:val="left" w:pos="567"/>
        </w:tabs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</w:t>
      </w:r>
      <w:r w:rsidR="00D05647">
        <w:rPr>
          <w:color w:val="auto"/>
        </w:rPr>
        <w:t>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6564A3" w:rsidRDefault="006564A3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06F5A" w:rsidRDefault="00206F5A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49B2" w:rsidRDefault="00EF49B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49B2" w:rsidRDefault="00EF49B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49B2" w:rsidRDefault="00EF49B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49B2" w:rsidRDefault="00EF49B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49B2" w:rsidRDefault="00EF49B2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>předmět</w:t>
      </w:r>
      <w:r w:rsidR="003F292F">
        <w:rPr>
          <w:rFonts w:ascii="Arial" w:hAnsi="Arial" w:cs="Arial"/>
          <w:sz w:val="22"/>
          <w:szCs w:val="22"/>
        </w:rPr>
        <w:t xml:space="preserve">u smlouvy dle bodu </w:t>
      </w:r>
      <w:proofErr w:type="gramStart"/>
      <w:r w:rsidR="003F292F">
        <w:rPr>
          <w:rFonts w:ascii="Arial" w:hAnsi="Arial" w:cs="Arial"/>
          <w:sz w:val="22"/>
          <w:szCs w:val="22"/>
        </w:rPr>
        <w:t xml:space="preserve">2.2. a), </w:t>
      </w:r>
      <w:r w:rsidR="000226CE">
        <w:rPr>
          <w:rFonts w:ascii="Arial" w:hAnsi="Arial" w:cs="Arial"/>
          <w:sz w:val="22"/>
          <w:szCs w:val="22"/>
        </w:rPr>
        <w:t>b)</w:t>
      </w:r>
      <w:r w:rsidR="00281ABB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</w:t>
      </w:r>
      <w:r w:rsidR="00D05647">
        <w:rPr>
          <w:rFonts w:ascii="Arial" w:eastAsia="MS Mincho" w:hAnsi="Arial" w:cs="Arial"/>
          <w:spacing w:val="-4"/>
          <w:sz w:val="22"/>
          <w:szCs w:val="22"/>
        </w:rPr>
        <w:t>3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6564A3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6564A3" w:rsidRPr="001C664A" w:rsidRDefault="006564A3" w:rsidP="006564A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</w:t>
      </w:r>
      <w:r w:rsidRPr="00DE12ED">
        <w:rPr>
          <w:color w:val="auto"/>
        </w:rPr>
        <w:lastRenderedPageBreak/>
        <w:t xml:space="preserve">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024831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II/</w:t>
      </w:r>
      <w:r w:rsidR="000226CE">
        <w:rPr>
          <w:b/>
          <w:color w:val="auto"/>
        </w:rPr>
        <w:t>347 Světlá nad Sázavou – přeložka silnice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E51256" w:rsidRPr="00E51256">
        <w:rPr>
          <w:color w:val="auto"/>
        </w:rPr>
        <w:t>.</w:t>
      </w:r>
    </w:p>
    <w:p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834709" w:rsidRDefault="00834709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0226CE">
        <w:rPr>
          <w:rFonts w:eastAsia="MS Mincho"/>
          <w:color w:val="auto"/>
        </w:rPr>
        <w:t>. písm.</w:t>
      </w:r>
      <w:proofErr w:type="gramEnd"/>
      <w:r w:rsidR="000226CE">
        <w:rPr>
          <w:rFonts w:eastAsia="MS Mincho"/>
          <w:color w:val="auto"/>
        </w:rPr>
        <w:t xml:space="preserve"> a), b)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EF49B2" w:rsidRDefault="00EF49B2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3F25C3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226CE">
        <w:rPr>
          <w:color w:val="auto"/>
          <w:spacing w:val="2"/>
        </w:rPr>
        <w:t>Zhotovitel je v souladu s touto smlouvu odpovědný za škodu způsobenou Objednateli nebo</w:t>
      </w:r>
      <w:r w:rsidRPr="000226CE">
        <w:rPr>
          <w:color w:val="auto"/>
          <w:spacing w:val="-6"/>
        </w:rPr>
        <w:t xml:space="preserve"> třetím</w:t>
      </w:r>
      <w:r w:rsidRPr="000226CE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0226CE">
        <w:rPr>
          <w:color w:val="auto"/>
          <w:spacing w:val="4"/>
        </w:rPr>
        <w:t>osobám vzniklou nevykonáním sjednaných činností či neposkytnutím sjednaných služeb</w:t>
      </w:r>
      <w:r w:rsidRPr="000226CE">
        <w:rPr>
          <w:color w:val="auto"/>
        </w:rPr>
        <w:t xml:space="preserve"> dle této smlouvy.  </w:t>
      </w:r>
    </w:p>
    <w:p w:rsidR="000226CE" w:rsidRPr="000226CE" w:rsidRDefault="000226CE" w:rsidP="000226C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lastRenderedPageBreak/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A94263" w:rsidRDefault="00A94263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EF49B2" w:rsidRDefault="00EF49B2" w:rsidP="00EF49B2">
      <w:pPr>
        <w:pStyle w:val="Odstavecseseznamem"/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E15048" w:rsidRDefault="00E15048" w:rsidP="00E15048">
      <w:pPr>
        <w:pStyle w:val="Odstavecseseznamem"/>
      </w:pPr>
    </w:p>
    <w:p w:rsidR="00E15048" w:rsidRPr="002B7B7D" w:rsidRDefault="00E15048" w:rsidP="00E15048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E15048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AB09DC" w:rsidRDefault="00AB09DC" w:rsidP="00AB09DC">
      <w:pPr>
        <w:pStyle w:val="Odstavecseseznamem"/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</w:t>
      </w:r>
      <w:r w:rsidR="000226CE">
        <w:rPr>
          <w:color w:val="auto"/>
        </w:rPr>
        <w:br/>
      </w:r>
      <w:r w:rsidRPr="0093098A">
        <w:rPr>
          <w:color w:val="auto"/>
        </w:rPr>
        <w:t>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AB09DC" w:rsidRDefault="00AB09DC" w:rsidP="00AB09DC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C4146A" w:rsidRDefault="000226CE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>
        <w:rPr>
          <w:rFonts w:ascii="Arial" w:hAnsi="Arial" w:cs="Arial"/>
          <w:b/>
          <w:sz w:val="22"/>
          <w:szCs w:val="22"/>
        </w:rPr>
        <w:t>Č</w:t>
      </w:r>
      <w:r w:rsidR="00C4146A" w:rsidRPr="001C664A">
        <w:rPr>
          <w:rFonts w:ascii="Arial" w:hAnsi="Arial" w:cs="Arial"/>
          <w:b/>
          <w:sz w:val="22"/>
          <w:szCs w:val="22"/>
        </w:rPr>
        <w:t>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="00C4146A"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C4146A"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5503E4" w:rsidRDefault="005503E4" w:rsidP="005503E4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>Tato smlouva je uzavřena elektronicky.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EF49B2" w:rsidRDefault="00EF49B2" w:rsidP="00EF49B2">
      <w:pPr>
        <w:pStyle w:val="Odstavecseseznamem"/>
      </w:pPr>
    </w:p>
    <w:p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3D0F7A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:rsidR="00660581" w:rsidRDefault="00660581" w:rsidP="00660581">
      <w:pPr>
        <w:pStyle w:val="Odstavecseseznamem"/>
      </w:pPr>
    </w:p>
    <w:p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3D0F7A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84F82" w:rsidRDefault="00A84F82" w:rsidP="00A84F82">
      <w:pPr>
        <w:pStyle w:val="Odstavecseseznamem"/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:rsidR="00E637D4" w:rsidRDefault="00E637D4" w:rsidP="00E637D4">
      <w:pPr>
        <w:pStyle w:val="Odstavecseseznamem"/>
        <w:rPr>
          <w:spacing w:val="-4"/>
        </w:rPr>
      </w:pPr>
    </w:p>
    <w:p w:rsidR="00EF49B2" w:rsidRDefault="00EF49B2" w:rsidP="00E637D4">
      <w:pPr>
        <w:pStyle w:val="Odstavecseseznamem"/>
        <w:rPr>
          <w:spacing w:val="-4"/>
        </w:rPr>
      </w:pPr>
    </w:p>
    <w:p w:rsidR="00EF49B2" w:rsidRDefault="00EF49B2" w:rsidP="00E637D4">
      <w:pPr>
        <w:pStyle w:val="Odstavecseseznamem"/>
        <w:rPr>
          <w:spacing w:val="-4"/>
        </w:rPr>
      </w:pPr>
    </w:p>
    <w:p w:rsidR="00EF49B2" w:rsidRDefault="00EF49B2" w:rsidP="00E637D4">
      <w:pPr>
        <w:pStyle w:val="Odstavecseseznamem"/>
        <w:rPr>
          <w:spacing w:val="-4"/>
        </w:rPr>
      </w:pPr>
    </w:p>
    <w:p w:rsidR="00EF49B2" w:rsidRDefault="00EF49B2" w:rsidP="00E637D4">
      <w:pPr>
        <w:pStyle w:val="Odstavecseseznamem"/>
        <w:rPr>
          <w:spacing w:val="-4"/>
        </w:rPr>
      </w:pPr>
    </w:p>
    <w:p w:rsidR="00E637D4" w:rsidRPr="006A6DD0" w:rsidRDefault="00E637D4" w:rsidP="00E637D4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lastRenderedPageBreak/>
        <w:t xml:space="preserve">Zhotovitel se zavazuje, v rámci plnění této smlouvy, nevyužívat </w:t>
      </w:r>
      <w:r w:rsidRPr="007E38D2">
        <w:rPr>
          <w:color w:val="auto"/>
          <w:spacing w:val="-6"/>
        </w:rPr>
        <w:t>v rozsahu vyšším než 10</w:t>
      </w:r>
      <w:r>
        <w:rPr>
          <w:color w:val="auto"/>
          <w:spacing w:val="-6"/>
        </w:rPr>
        <w:t xml:space="preserve"> </w:t>
      </w:r>
      <w:r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637D4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A84F82" w:rsidRPr="00A94263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2"/>
          <w:szCs w:val="12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3431AC" w:rsidRDefault="003431AC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F49B2" w:rsidRDefault="00EF49B2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EF49B2" w:rsidRDefault="00EF49B2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EF49B2" w:rsidRDefault="00EF49B2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bookmarkStart w:id="0" w:name="_GoBack"/>
      <w:bookmarkEnd w:id="0"/>
      <w:r>
        <w:rPr>
          <w:rFonts w:eastAsia="MS Mincho"/>
        </w:rPr>
        <w:t>Ing. Miroslav Houška</w:t>
      </w:r>
    </w:p>
    <w:p w:rsidR="00C4146A" w:rsidRPr="001C664A" w:rsidRDefault="00C84FA8" w:rsidP="00AB09DC">
      <w:pPr>
        <w:pStyle w:val="Zkladntext2"/>
        <w:tabs>
          <w:tab w:val="left" w:pos="4678"/>
        </w:tabs>
        <w:suppressAutoHyphens/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sectPr w:rsidR="00C4146A" w:rsidRPr="001C664A" w:rsidSect="00EF49B2">
      <w:footerReference w:type="default" r:id="rId8"/>
      <w:headerReference w:type="first" r:id="rId9"/>
      <w:footerReference w:type="first" r:id="rId10"/>
      <w:pgSz w:w="11906" w:h="16838" w:code="9"/>
      <w:pgMar w:top="1191" w:right="1134" w:bottom="1191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E54" w:rsidRDefault="007D1E54">
      <w:r>
        <w:separator/>
      </w:r>
    </w:p>
  </w:endnote>
  <w:endnote w:type="continuationSeparator" w:id="0">
    <w:p w:rsidR="007D1E54" w:rsidRDefault="007D1E54">
      <w:r>
        <w:continuationSeparator/>
      </w:r>
    </w:p>
  </w:endnote>
  <w:endnote w:type="continuationNotice" w:id="1">
    <w:p w:rsidR="007D1E54" w:rsidRDefault="007D1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Default="00B06B87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F49B2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F49B2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Default="00B06B87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F49B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F49B2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E54" w:rsidRDefault="007D1E54">
      <w:r>
        <w:separator/>
      </w:r>
    </w:p>
  </w:footnote>
  <w:footnote w:type="continuationSeparator" w:id="0">
    <w:p w:rsidR="007D1E54" w:rsidRDefault="007D1E54">
      <w:r>
        <w:continuationSeparator/>
      </w:r>
    </w:p>
  </w:footnote>
  <w:footnote w:type="continuationNotice" w:id="1">
    <w:p w:rsidR="007D1E54" w:rsidRDefault="007D1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Pr="00C82BDA" w:rsidRDefault="00B06B8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06B87" w:rsidRPr="00C82BDA" w:rsidRDefault="00B06B8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06B87" w:rsidRDefault="00B06B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83D2051"/>
    <w:multiLevelType w:val="multilevel"/>
    <w:tmpl w:val="B450EF42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2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2"/>
  </w:num>
  <w:num w:numId="2">
    <w:abstractNumId w:val="21"/>
  </w:num>
  <w:num w:numId="3">
    <w:abstractNumId w:val="47"/>
  </w:num>
  <w:num w:numId="4">
    <w:abstractNumId w:val="0"/>
  </w:num>
  <w:num w:numId="5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34"/>
  </w:num>
  <w:num w:numId="10">
    <w:abstractNumId w:val="11"/>
  </w:num>
  <w:num w:numId="11">
    <w:abstractNumId w:val="5"/>
  </w:num>
  <w:num w:numId="12">
    <w:abstractNumId w:val="37"/>
  </w:num>
  <w:num w:numId="13">
    <w:abstractNumId w:val="13"/>
  </w:num>
  <w:num w:numId="14">
    <w:abstractNumId w:val="27"/>
  </w:num>
  <w:num w:numId="15">
    <w:abstractNumId w:val="31"/>
  </w:num>
  <w:num w:numId="16">
    <w:abstractNumId w:val="7"/>
  </w:num>
  <w:num w:numId="17">
    <w:abstractNumId w:val="22"/>
  </w:num>
  <w:num w:numId="18">
    <w:abstractNumId w:val="3"/>
  </w:num>
  <w:num w:numId="19">
    <w:abstractNumId w:val="14"/>
  </w:num>
  <w:num w:numId="20">
    <w:abstractNumId w:val="41"/>
  </w:num>
  <w:num w:numId="21">
    <w:abstractNumId w:val="39"/>
  </w:num>
  <w:num w:numId="22">
    <w:abstractNumId w:val="17"/>
  </w:num>
  <w:num w:numId="23">
    <w:abstractNumId w:val="12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0"/>
  </w:num>
  <w:num w:numId="27">
    <w:abstractNumId w:val="46"/>
  </w:num>
  <w:num w:numId="28">
    <w:abstractNumId w:val="23"/>
  </w:num>
  <w:num w:numId="29">
    <w:abstractNumId w:val="26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5"/>
  </w:num>
  <w:num w:numId="36">
    <w:abstractNumId w:val="8"/>
  </w:num>
  <w:num w:numId="37">
    <w:abstractNumId w:val="32"/>
  </w:num>
  <w:num w:numId="38">
    <w:abstractNumId w:val="40"/>
  </w:num>
  <w:num w:numId="39">
    <w:abstractNumId w:val="18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25"/>
  </w:num>
  <w:num w:numId="43">
    <w:abstractNumId w:val="9"/>
  </w:num>
  <w:num w:numId="44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26CE"/>
    <w:rsid w:val="00024831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6165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2CD7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4382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6F5A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29AE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06965"/>
    <w:rsid w:val="0031069B"/>
    <w:rsid w:val="0031183A"/>
    <w:rsid w:val="00314E21"/>
    <w:rsid w:val="00320815"/>
    <w:rsid w:val="00320FC8"/>
    <w:rsid w:val="003230C4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31AC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009"/>
    <w:rsid w:val="003C4146"/>
    <w:rsid w:val="003C6178"/>
    <w:rsid w:val="003D040A"/>
    <w:rsid w:val="003D0F7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92F"/>
    <w:rsid w:val="003F4416"/>
    <w:rsid w:val="003F6C66"/>
    <w:rsid w:val="003F79A5"/>
    <w:rsid w:val="00400D8F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46A9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C42A1"/>
    <w:rsid w:val="004D106B"/>
    <w:rsid w:val="004D1855"/>
    <w:rsid w:val="004D1918"/>
    <w:rsid w:val="004D41EF"/>
    <w:rsid w:val="004D4C94"/>
    <w:rsid w:val="004D606A"/>
    <w:rsid w:val="004E00F2"/>
    <w:rsid w:val="004E171F"/>
    <w:rsid w:val="004E2800"/>
    <w:rsid w:val="004E39E5"/>
    <w:rsid w:val="004E5C1C"/>
    <w:rsid w:val="004E668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3E4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C7A7E"/>
    <w:rsid w:val="005D16B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50E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2FF8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64A3"/>
    <w:rsid w:val="006574CD"/>
    <w:rsid w:val="00660581"/>
    <w:rsid w:val="00663FC7"/>
    <w:rsid w:val="0066451C"/>
    <w:rsid w:val="006665DA"/>
    <w:rsid w:val="00671262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2E6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1E54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4709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36F9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37BD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309B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263"/>
    <w:rsid w:val="00A948BA"/>
    <w:rsid w:val="00A968D0"/>
    <w:rsid w:val="00A96FDD"/>
    <w:rsid w:val="00AA21A1"/>
    <w:rsid w:val="00AA3C81"/>
    <w:rsid w:val="00AA4337"/>
    <w:rsid w:val="00AA4763"/>
    <w:rsid w:val="00AB09DC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6B87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3C9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530E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2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14D"/>
    <w:rsid w:val="00CB5A09"/>
    <w:rsid w:val="00CB7BE5"/>
    <w:rsid w:val="00CC18A7"/>
    <w:rsid w:val="00CC3741"/>
    <w:rsid w:val="00CC4665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6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1DD6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5048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7D4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49B2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25C89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AAD8A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customStyle="1" w:styleId="CM1">
    <w:name w:val="CM1"/>
    <w:basedOn w:val="Normln"/>
    <w:next w:val="Normln"/>
    <w:uiPriority w:val="99"/>
    <w:rsid w:val="00E637D4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B9D2-2BA7-4E27-972C-30327774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15</Pages>
  <Words>5636</Words>
  <Characters>34243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14</cp:revision>
  <cp:lastPrinted>2020-01-27T08:54:00Z</cp:lastPrinted>
  <dcterms:created xsi:type="dcterms:W3CDTF">2022-09-13T11:38:00Z</dcterms:created>
  <dcterms:modified xsi:type="dcterms:W3CDTF">2022-09-26T11:05:00Z</dcterms:modified>
</cp:coreProperties>
</file>